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BD6" w:rsidRPr="0076773E" w:rsidRDefault="00814BD6" w:rsidP="00814BD6">
      <w:pPr>
        <w:spacing w:before="120"/>
        <w:ind w:left="357"/>
        <w:jc w:val="both"/>
        <w:rPr>
          <w:rFonts w:ascii="Tahoma" w:hAnsi="Tahoma" w:cs="Tahoma"/>
          <w:b/>
          <w:sz w:val="36"/>
          <w:szCs w:val="36"/>
        </w:rPr>
      </w:pPr>
      <w:r>
        <w:rPr>
          <w:noProof/>
        </w:rPr>
        <w:drawing>
          <wp:anchor distT="0" distB="0" distL="114300" distR="114300" simplePos="0" relativeHeight="251659264" behindDoc="0" locked="0" layoutInCell="1" allowOverlap="1" wp14:anchorId="47853904" wp14:editId="5CE939F9">
            <wp:simplePos x="0" y="0"/>
            <wp:positionH relativeFrom="column">
              <wp:posOffset>4766310</wp:posOffset>
            </wp:positionH>
            <wp:positionV relativeFrom="paragraph">
              <wp:posOffset>115570</wp:posOffset>
            </wp:positionV>
            <wp:extent cx="1771650" cy="2505710"/>
            <wp:effectExtent l="0" t="0" r="0" b="8890"/>
            <wp:wrapSquare wrapText="bothSides"/>
            <wp:docPr id="1" name="Immagine 1" descr="C:\Documents and Settings\Barbara\Documenti\Ist Ped\Ist Ped 2008-09\Progetti\Progetto microlingue\COMUNICARE E LAVOR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Barbara\Documenti\Ist Ped\Ist Ped 2008-09\Progetti\Progetto microlingue\COMUNICARE E LAVORAR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71650" cy="25057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b/>
          <w:sz w:val="36"/>
          <w:szCs w:val="36"/>
        </w:rPr>
        <w:t>COMUNICARE E LAVORARE</w:t>
      </w:r>
    </w:p>
    <w:p w:rsidR="00814BD6" w:rsidRPr="007C0408" w:rsidRDefault="00814BD6" w:rsidP="00814BD6">
      <w:pPr>
        <w:ind w:firstLine="357"/>
        <w:rPr>
          <w:rFonts w:ascii="Tahoma" w:hAnsi="Tahoma" w:cs="Tahoma"/>
          <w:b/>
          <w:sz w:val="20"/>
          <w:szCs w:val="20"/>
        </w:rPr>
      </w:pPr>
    </w:p>
    <w:p w:rsidR="00814BD6" w:rsidRPr="00BC3E98" w:rsidRDefault="00814BD6" w:rsidP="00814BD6">
      <w:pPr>
        <w:ind w:firstLine="357"/>
        <w:rPr>
          <w:rFonts w:ascii="Tahoma" w:hAnsi="Tahoma" w:cs="Tahoma"/>
          <w:b/>
        </w:rPr>
      </w:pPr>
      <w:r w:rsidRPr="00BC3E98">
        <w:rPr>
          <w:rFonts w:ascii="Tahoma" w:hAnsi="Tahoma" w:cs="Tahoma"/>
          <w:b/>
        </w:rPr>
        <w:t>Educazione linguistica in ambito professionale</w:t>
      </w:r>
    </w:p>
    <w:p w:rsidR="00814BD6" w:rsidRDefault="00814BD6" w:rsidP="00814BD6">
      <w:pPr>
        <w:spacing w:before="120"/>
        <w:ind w:left="357"/>
        <w:jc w:val="both"/>
        <w:rPr>
          <w:rFonts w:ascii="Tahoma" w:hAnsi="Tahoma" w:cs="Tahoma"/>
          <w:sz w:val="22"/>
          <w:szCs w:val="22"/>
        </w:rPr>
      </w:pPr>
      <w:r>
        <w:rPr>
          <w:rFonts w:ascii="Tahoma" w:hAnsi="Tahoma" w:cs="Tahoma"/>
          <w:sz w:val="22"/>
          <w:szCs w:val="22"/>
        </w:rPr>
        <w:t xml:space="preserve">a cura di Franca </w:t>
      </w:r>
      <w:proofErr w:type="spellStart"/>
      <w:r>
        <w:rPr>
          <w:rFonts w:ascii="Tahoma" w:hAnsi="Tahoma" w:cs="Tahoma"/>
          <w:sz w:val="22"/>
          <w:szCs w:val="22"/>
        </w:rPr>
        <w:t>Quartapelle</w:t>
      </w:r>
      <w:proofErr w:type="spellEnd"/>
    </w:p>
    <w:p w:rsidR="00814BD6" w:rsidRDefault="00814BD6" w:rsidP="00814BD6"/>
    <w:p w:rsidR="00814BD6" w:rsidRPr="006D7828" w:rsidRDefault="00814BD6" w:rsidP="00814BD6">
      <w:pPr>
        <w:ind w:left="357"/>
        <w:jc w:val="both"/>
        <w:rPr>
          <w:rFonts w:ascii="Palatino Linotype" w:hAnsi="Palatino Linotype"/>
        </w:rPr>
      </w:pPr>
      <w:r w:rsidRPr="006D7828">
        <w:rPr>
          <w:rFonts w:ascii="Tahoma" w:hAnsi="Tahoma" w:cs="Tahoma"/>
        </w:rPr>
        <w:t xml:space="preserve">Il fascicolo “Comunicare e lavorare” pubblicato a gennaio 2011 dall’Istituto </w:t>
      </w:r>
      <w:proofErr w:type="gramStart"/>
      <w:r w:rsidRPr="006D7828">
        <w:rPr>
          <w:rFonts w:ascii="Tahoma" w:hAnsi="Tahoma" w:cs="Tahoma"/>
        </w:rPr>
        <w:t>Pedagogico</w:t>
      </w:r>
      <w:proofErr w:type="gramEnd"/>
      <w:r w:rsidRPr="006D7828">
        <w:rPr>
          <w:rFonts w:ascii="Tahoma" w:hAnsi="Tahoma" w:cs="Tahoma"/>
        </w:rPr>
        <w:t xml:space="preserve"> contiene delle unità di apprendimento realizzate da un gruppo di lavoro composto da insegnanti di Italiano L2 della scuola secondaria di secondo grado della provincia di Bolzano. La consulenza scientifica è stata affidata a Franca </w:t>
      </w:r>
      <w:proofErr w:type="spellStart"/>
      <w:r w:rsidRPr="006D7828">
        <w:rPr>
          <w:rFonts w:ascii="Tahoma" w:hAnsi="Tahoma" w:cs="Tahoma"/>
        </w:rPr>
        <w:t>Quartapelle</w:t>
      </w:r>
      <w:proofErr w:type="spellEnd"/>
      <w:r w:rsidRPr="006D7828">
        <w:rPr>
          <w:rFonts w:ascii="Tahoma" w:hAnsi="Tahoma" w:cs="Tahoma"/>
        </w:rPr>
        <w:t xml:space="preserve">, per molti anni docente di lingua straniera nella scuola superiore e ricercatrice, oltre che autrice di libri di testo e traduttrice del </w:t>
      </w:r>
      <w:r w:rsidRPr="006D7828">
        <w:rPr>
          <w:rFonts w:ascii="Tahoma" w:hAnsi="Tahoma" w:cs="Tahoma"/>
          <w:i/>
        </w:rPr>
        <w:t xml:space="preserve">Common </w:t>
      </w:r>
      <w:proofErr w:type="spellStart"/>
      <w:r w:rsidRPr="006D7828">
        <w:rPr>
          <w:rFonts w:ascii="Tahoma" w:hAnsi="Tahoma" w:cs="Tahoma"/>
          <w:i/>
        </w:rPr>
        <w:t>European</w:t>
      </w:r>
      <w:proofErr w:type="spellEnd"/>
      <w:r w:rsidRPr="006D7828">
        <w:rPr>
          <w:rFonts w:ascii="Tahoma" w:hAnsi="Tahoma" w:cs="Tahoma"/>
          <w:i/>
        </w:rPr>
        <w:t xml:space="preserve"> Framework for </w:t>
      </w:r>
      <w:proofErr w:type="spellStart"/>
      <w:r w:rsidRPr="006D7828">
        <w:rPr>
          <w:rFonts w:ascii="Tahoma" w:hAnsi="Tahoma" w:cs="Tahoma"/>
          <w:i/>
        </w:rPr>
        <w:t>Languages</w:t>
      </w:r>
      <w:proofErr w:type="spellEnd"/>
      <w:r w:rsidRPr="006D7828">
        <w:rPr>
          <w:rFonts w:ascii="Tahoma" w:hAnsi="Tahoma" w:cs="Tahoma"/>
        </w:rPr>
        <w:t>.</w:t>
      </w:r>
    </w:p>
    <w:p w:rsidR="00814BD6" w:rsidRPr="009424D0" w:rsidRDefault="00814BD6" w:rsidP="00814BD6">
      <w:pPr>
        <w:spacing w:before="120"/>
        <w:ind w:left="357"/>
        <w:jc w:val="both"/>
        <w:rPr>
          <w:rFonts w:ascii="Tahoma" w:hAnsi="Tahoma" w:cs="Tahoma"/>
          <w:sz w:val="22"/>
          <w:szCs w:val="22"/>
        </w:rPr>
      </w:pPr>
      <w:r w:rsidRPr="009424D0">
        <w:rPr>
          <w:rFonts w:ascii="Tahoma" w:hAnsi="Tahoma" w:cs="Tahoma"/>
          <w:sz w:val="22"/>
          <w:szCs w:val="22"/>
        </w:rPr>
        <w:t xml:space="preserve">Il progetto è iniziato nel 2009 con la formazione di un gruppo di lavoro costituito da insegnanti provenienti da istituti tecnici e </w:t>
      </w:r>
      <w:proofErr w:type="gramStart"/>
      <w:r w:rsidRPr="009424D0">
        <w:rPr>
          <w:rFonts w:ascii="Tahoma" w:hAnsi="Tahoma" w:cs="Tahoma"/>
          <w:sz w:val="22"/>
          <w:szCs w:val="22"/>
        </w:rPr>
        <w:t>istituti</w:t>
      </w:r>
      <w:proofErr w:type="gramEnd"/>
      <w:r w:rsidRPr="009424D0">
        <w:rPr>
          <w:rFonts w:ascii="Tahoma" w:hAnsi="Tahoma" w:cs="Tahoma"/>
          <w:sz w:val="22"/>
          <w:szCs w:val="22"/>
        </w:rPr>
        <w:t xml:space="preserve"> professionali e da diverse realtà locali (Bolzano, Bressanone, Brunico), in modo tale da tenere il più possibile in considerazione le esigenze presenti su tutto il territorio provinciale. </w:t>
      </w:r>
    </w:p>
    <w:p w:rsidR="00814BD6" w:rsidRPr="009424D0" w:rsidRDefault="00814BD6" w:rsidP="00814BD6">
      <w:pPr>
        <w:rPr>
          <w:sz w:val="16"/>
          <w:szCs w:val="16"/>
        </w:rPr>
      </w:pPr>
    </w:p>
    <w:p w:rsidR="00814BD6" w:rsidRPr="009424D0" w:rsidRDefault="00814BD6" w:rsidP="00814BD6">
      <w:pPr>
        <w:ind w:firstLine="357"/>
        <w:rPr>
          <w:rFonts w:ascii="Tahoma" w:hAnsi="Tahoma" w:cs="Tahoma"/>
          <w:sz w:val="28"/>
          <w:szCs w:val="28"/>
        </w:rPr>
      </w:pPr>
      <w:r w:rsidRPr="009424D0">
        <w:rPr>
          <w:rFonts w:ascii="Tahoma" w:hAnsi="Tahoma" w:cs="Tahoma"/>
          <w:b/>
          <w:sz w:val="28"/>
          <w:szCs w:val="28"/>
        </w:rPr>
        <w:t>I linguaggi settoriali</w:t>
      </w:r>
    </w:p>
    <w:p w:rsidR="00814BD6" w:rsidRPr="009424D0" w:rsidRDefault="00814BD6" w:rsidP="00814BD6">
      <w:pPr>
        <w:rPr>
          <w:rFonts w:ascii="Tahoma" w:hAnsi="Tahoma" w:cs="Tahoma"/>
          <w:sz w:val="16"/>
          <w:szCs w:val="16"/>
        </w:rPr>
      </w:pPr>
    </w:p>
    <w:p w:rsidR="00814BD6" w:rsidRPr="009424D0" w:rsidRDefault="00814BD6" w:rsidP="00814BD6">
      <w:pPr>
        <w:spacing w:before="120"/>
        <w:ind w:left="357"/>
        <w:jc w:val="both"/>
        <w:rPr>
          <w:rFonts w:ascii="Tahoma" w:hAnsi="Tahoma" w:cs="Tahoma"/>
          <w:sz w:val="22"/>
          <w:szCs w:val="22"/>
        </w:rPr>
      </w:pPr>
      <w:r w:rsidRPr="009424D0">
        <w:rPr>
          <w:rFonts w:ascii="Tahoma" w:hAnsi="Tahoma" w:cs="Tahoma"/>
          <w:sz w:val="22"/>
          <w:szCs w:val="22"/>
        </w:rPr>
        <w:t xml:space="preserve">La scuola di oggi è una </w:t>
      </w:r>
      <w:proofErr w:type="gramStart"/>
      <w:r w:rsidRPr="009424D0">
        <w:rPr>
          <w:rFonts w:ascii="Tahoma" w:hAnsi="Tahoma" w:cs="Tahoma"/>
          <w:sz w:val="22"/>
          <w:szCs w:val="22"/>
        </w:rPr>
        <w:t>scuola</w:t>
      </w:r>
      <w:proofErr w:type="gramEnd"/>
      <w:r w:rsidRPr="009424D0">
        <w:rPr>
          <w:rFonts w:ascii="Tahoma" w:hAnsi="Tahoma" w:cs="Tahoma"/>
          <w:sz w:val="22"/>
          <w:szCs w:val="22"/>
        </w:rPr>
        <w:t xml:space="preserve"> che sente sempre più l’esigenza di offrire agli studenti, oltre a una solida base di cultura generale, anche gli strumenti per muoversi nel mondo del lavoro, soprattutto nel caso degli istituti tecnici e professionali.</w:t>
      </w:r>
    </w:p>
    <w:p w:rsidR="00814BD6" w:rsidRPr="009424D0" w:rsidRDefault="00814BD6" w:rsidP="00814BD6">
      <w:pPr>
        <w:spacing w:before="120"/>
        <w:ind w:left="357"/>
        <w:jc w:val="both"/>
        <w:rPr>
          <w:rFonts w:ascii="Tahoma" w:hAnsi="Tahoma" w:cs="Tahoma"/>
          <w:sz w:val="22"/>
          <w:szCs w:val="22"/>
        </w:rPr>
      </w:pPr>
      <w:r w:rsidRPr="009424D0">
        <w:rPr>
          <w:rFonts w:ascii="Tahoma" w:hAnsi="Tahoma" w:cs="Tahoma"/>
          <w:sz w:val="22"/>
          <w:szCs w:val="22"/>
        </w:rPr>
        <w:t>Per l’ambito disciplinare di Italiano seconda lingua, questo significa che è necessario inserire nel curricolo di educazione linguistica un aspetto spesso sottovalutato: quello dell’insegnamento/apprendimento dei linguaggi settoriali.</w:t>
      </w:r>
    </w:p>
    <w:p w:rsidR="00814BD6" w:rsidRPr="009424D0" w:rsidRDefault="00814BD6" w:rsidP="00814BD6">
      <w:pPr>
        <w:spacing w:before="120"/>
        <w:ind w:left="357"/>
        <w:jc w:val="both"/>
        <w:rPr>
          <w:rFonts w:ascii="Tahoma" w:hAnsi="Tahoma" w:cs="Tahoma"/>
          <w:sz w:val="22"/>
          <w:szCs w:val="22"/>
        </w:rPr>
      </w:pPr>
      <w:r w:rsidRPr="009424D0">
        <w:rPr>
          <w:rFonts w:ascii="Tahoma" w:hAnsi="Tahoma" w:cs="Tahoma"/>
          <w:sz w:val="22"/>
          <w:szCs w:val="22"/>
        </w:rPr>
        <w:t>L’</w:t>
      </w:r>
      <w:smartTag w:uri="urn:schemas-microsoft-com:office:smarttags" w:element="PersonName">
        <w:smartTagPr>
          <w:attr w:name="ProductID" w:val="Istituto Pedagogico"/>
        </w:smartTagPr>
        <w:r w:rsidRPr="009424D0">
          <w:rPr>
            <w:rFonts w:ascii="Tahoma" w:hAnsi="Tahoma" w:cs="Tahoma"/>
            <w:sz w:val="22"/>
            <w:szCs w:val="22"/>
          </w:rPr>
          <w:t>Istituto Pedagogico</w:t>
        </w:r>
      </w:smartTag>
      <w:r w:rsidRPr="009424D0">
        <w:rPr>
          <w:rFonts w:ascii="Tahoma" w:hAnsi="Tahoma" w:cs="Tahoma"/>
          <w:sz w:val="22"/>
          <w:szCs w:val="22"/>
        </w:rPr>
        <w:t xml:space="preserve"> ha </w:t>
      </w:r>
      <w:proofErr w:type="gramStart"/>
      <w:r w:rsidRPr="009424D0">
        <w:rPr>
          <w:rFonts w:ascii="Tahoma" w:hAnsi="Tahoma" w:cs="Tahoma"/>
          <w:sz w:val="22"/>
          <w:szCs w:val="22"/>
        </w:rPr>
        <w:t>recepito</w:t>
      </w:r>
      <w:proofErr w:type="gramEnd"/>
      <w:r w:rsidRPr="009424D0">
        <w:rPr>
          <w:rFonts w:ascii="Tahoma" w:hAnsi="Tahoma" w:cs="Tahoma"/>
          <w:sz w:val="22"/>
          <w:szCs w:val="22"/>
        </w:rPr>
        <w:t xml:space="preserve"> questa necessità e ha costituito un gruppo di lavoro composto da insegnanti di Italiano L2 della scuola secondaria di secondo grado con l’obiettivo di creare delle unità di apprendimento focalizzate sui linguaggi di diversi settori lavorativi. </w:t>
      </w:r>
    </w:p>
    <w:p w:rsidR="00814BD6" w:rsidRPr="009424D0" w:rsidRDefault="00814BD6" w:rsidP="00814BD6">
      <w:pPr>
        <w:spacing w:before="120"/>
        <w:ind w:left="357"/>
        <w:jc w:val="both"/>
        <w:rPr>
          <w:rFonts w:ascii="Tahoma" w:hAnsi="Tahoma" w:cs="Tahoma"/>
          <w:sz w:val="22"/>
          <w:szCs w:val="22"/>
        </w:rPr>
      </w:pPr>
      <w:r w:rsidRPr="009424D0">
        <w:rPr>
          <w:rFonts w:ascii="Tahoma" w:hAnsi="Tahoma" w:cs="Tahoma"/>
          <w:sz w:val="22"/>
          <w:szCs w:val="22"/>
        </w:rPr>
        <w:t>Il materiale offerto da questo fascicolo copre vari ambiti professionali: economia e marketing, pubblicità, ecologia, fotografia, meccanica, elettrotecnica, turismo, sanità.</w:t>
      </w:r>
    </w:p>
    <w:p w:rsidR="00814BD6" w:rsidRPr="009424D0" w:rsidRDefault="00814BD6" w:rsidP="005D189C">
      <w:pPr>
        <w:spacing w:before="120" w:after="120"/>
        <w:ind w:left="357"/>
        <w:jc w:val="both"/>
        <w:rPr>
          <w:rFonts w:ascii="Tahoma" w:hAnsi="Tahoma" w:cs="Tahoma"/>
          <w:sz w:val="22"/>
          <w:szCs w:val="22"/>
        </w:rPr>
      </w:pPr>
      <w:r w:rsidRPr="009424D0">
        <w:rPr>
          <w:rFonts w:ascii="Tahoma" w:hAnsi="Tahoma" w:cs="Tahoma"/>
          <w:sz w:val="22"/>
          <w:szCs w:val="22"/>
        </w:rPr>
        <w:t>Le unità presenti nel fascicolo sono:</w:t>
      </w:r>
    </w:p>
    <w:p w:rsidR="00814BD6" w:rsidRDefault="00814BD6" w:rsidP="005D189C">
      <w:pPr>
        <w:pStyle w:val="Paragrafoelenco"/>
        <w:numPr>
          <w:ilvl w:val="0"/>
          <w:numId w:val="1"/>
        </w:numPr>
        <w:spacing w:before="120" w:after="120"/>
        <w:jc w:val="both"/>
        <w:rPr>
          <w:rFonts w:ascii="Tahoma" w:hAnsi="Tahoma" w:cs="Tahoma"/>
          <w:sz w:val="22"/>
          <w:szCs w:val="22"/>
        </w:rPr>
        <w:sectPr w:rsidR="00814BD6">
          <w:pgSz w:w="11906" w:h="16838"/>
          <w:pgMar w:top="1417" w:right="1134" w:bottom="1134" w:left="1134" w:header="708" w:footer="708" w:gutter="0"/>
          <w:cols w:space="708"/>
          <w:docGrid w:linePitch="360"/>
        </w:sectPr>
      </w:pPr>
    </w:p>
    <w:p w:rsidR="00814BD6" w:rsidRPr="0061696A" w:rsidRDefault="00814BD6" w:rsidP="005D189C">
      <w:pPr>
        <w:pStyle w:val="Paragrafoelenco"/>
        <w:numPr>
          <w:ilvl w:val="0"/>
          <w:numId w:val="1"/>
        </w:numPr>
        <w:spacing w:before="120" w:after="120"/>
        <w:jc w:val="both"/>
        <w:rPr>
          <w:rFonts w:ascii="Tahoma" w:hAnsi="Tahoma" w:cs="Tahoma"/>
          <w:i/>
          <w:sz w:val="22"/>
          <w:szCs w:val="22"/>
        </w:rPr>
      </w:pPr>
      <w:r w:rsidRPr="0061696A">
        <w:rPr>
          <w:rFonts w:ascii="Tahoma" w:hAnsi="Tahoma" w:cs="Tahoma"/>
          <w:i/>
          <w:sz w:val="22"/>
          <w:szCs w:val="22"/>
        </w:rPr>
        <w:lastRenderedPageBreak/>
        <w:t>Mi metto in affari</w:t>
      </w:r>
    </w:p>
    <w:p w:rsidR="00814BD6" w:rsidRPr="0061696A" w:rsidRDefault="00814BD6" w:rsidP="00814BD6">
      <w:pPr>
        <w:pStyle w:val="Paragrafoelenco"/>
        <w:numPr>
          <w:ilvl w:val="0"/>
          <w:numId w:val="1"/>
        </w:numPr>
        <w:spacing w:before="120"/>
        <w:jc w:val="both"/>
        <w:rPr>
          <w:rFonts w:ascii="Tahoma" w:hAnsi="Tahoma" w:cs="Tahoma"/>
          <w:i/>
          <w:sz w:val="22"/>
          <w:szCs w:val="22"/>
        </w:rPr>
      </w:pPr>
      <w:r w:rsidRPr="0061696A">
        <w:rPr>
          <w:rFonts w:ascii="Tahoma" w:hAnsi="Tahoma" w:cs="Tahoma"/>
          <w:i/>
          <w:sz w:val="22"/>
          <w:szCs w:val="22"/>
        </w:rPr>
        <w:t>Colossi in concorrenza</w:t>
      </w:r>
    </w:p>
    <w:p w:rsidR="00814BD6" w:rsidRPr="0061696A" w:rsidRDefault="00814BD6" w:rsidP="00814BD6">
      <w:pPr>
        <w:pStyle w:val="Paragrafoelenco"/>
        <w:numPr>
          <w:ilvl w:val="0"/>
          <w:numId w:val="1"/>
        </w:numPr>
        <w:spacing w:before="120"/>
        <w:jc w:val="both"/>
        <w:rPr>
          <w:rFonts w:ascii="Tahoma" w:hAnsi="Tahoma" w:cs="Tahoma"/>
          <w:i/>
          <w:sz w:val="22"/>
          <w:szCs w:val="22"/>
        </w:rPr>
      </w:pPr>
      <w:r w:rsidRPr="0061696A">
        <w:rPr>
          <w:rFonts w:ascii="Tahoma" w:hAnsi="Tahoma" w:cs="Tahoma"/>
          <w:i/>
          <w:sz w:val="22"/>
          <w:szCs w:val="22"/>
        </w:rPr>
        <w:t>Buono e sano</w:t>
      </w:r>
    </w:p>
    <w:p w:rsidR="00814BD6" w:rsidRPr="0061696A" w:rsidRDefault="00814BD6" w:rsidP="00814BD6">
      <w:pPr>
        <w:pStyle w:val="Paragrafoelenco"/>
        <w:numPr>
          <w:ilvl w:val="0"/>
          <w:numId w:val="1"/>
        </w:numPr>
        <w:spacing w:before="120"/>
        <w:jc w:val="both"/>
        <w:rPr>
          <w:rFonts w:ascii="Tahoma" w:hAnsi="Tahoma" w:cs="Tahoma"/>
          <w:i/>
          <w:sz w:val="22"/>
          <w:szCs w:val="22"/>
        </w:rPr>
      </w:pPr>
      <w:r w:rsidRPr="0061696A">
        <w:rPr>
          <w:rFonts w:ascii="Tahoma" w:hAnsi="Tahoma" w:cs="Tahoma"/>
          <w:i/>
          <w:sz w:val="22"/>
          <w:szCs w:val="22"/>
        </w:rPr>
        <w:t>A tutto gas!</w:t>
      </w:r>
    </w:p>
    <w:p w:rsidR="00814BD6" w:rsidRPr="0061696A" w:rsidRDefault="00814BD6" w:rsidP="00814BD6">
      <w:pPr>
        <w:pStyle w:val="Paragrafoelenco"/>
        <w:numPr>
          <w:ilvl w:val="0"/>
          <w:numId w:val="1"/>
        </w:numPr>
        <w:spacing w:before="120"/>
        <w:jc w:val="both"/>
        <w:rPr>
          <w:rFonts w:ascii="Tahoma" w:hAnsi="Tahoma" w:cs="Tahoma"/>
          <w:i/>
          <w:sz w:val="22"/>
          <w:szCs w:val="22"/>
        </w:rPr>
      </w:pPr>
      <w:proofErr w:type="gramStart"/>
      <w:r w:rsidRPr="0061696A">
        <w:rPr>
          <w:rFonts w:ascii="Tahoma" w:hAnsi="Tahoma" w:cs="Tahoma"/>
          <w:i/>
          <w:sz w:val="22"/>
          <w:szCs w:val="22"/>
        </w:rPr>
        <w:t>Ma</w:t>
      </w:r>
      <w:proofErr w:type="gramEnd"/>
      <w:r w:rsidRPr="0061696A">
        <w:rPr>
          <w:rFonts w:ascii="Tahoma" w:hAnsi="Tahoma" w:cs="Tahoma"/>
          <w:i/>
          <w:sz w:val="22"/>
          <w:szCs w:val="22"/>
        </w:rPr>
        <w:t xml:space="preserve"> siamo sicuri?</w:t>
      </w:r>
    </w:p>
    <w:p w:rsidR="00814BD6" w:rsidRPr="0061696A" w:rsidRDefault="00814BD6" w:rsidP="00814BD6">
      <w:pPr>
        <w:pStyle w:val="Paragrafoelenco"/>
        <w:numPr>
          <w:ilvl w:val="0"/>
          <w:numId w:val="1"/>
        </w:numPr>
        <w:spacing w:before="120"/>
        <w:jc w:val="both"/>
        <w:rPr>
          <w:rFonts w:ascii="Tahoma" w:hAnsi="Tahoma" w:cs="Tahoma"/>
          <w:i/>
          <w:sz w:val="22"/>
          <w:szCs w:val="22"/>
        </w:rPr>
      </w:pPr>
      <w:r w:rsidRPr="0061696A">
        <w:rPr>
          <w:rFonts w:ascii="Tahoma" w:hAnsi="Tahoma" w:cs="Tahoma"/>
          <w:i/>
          <w:sz w:val="22"/>
          <w:szCs w:val="22"/>
        </w:rPr>
        <w:lastRenderedPageBreak/>
        <w:t>Catturare immagini</w:t>
      </w:r>
    </w:p>
    <w:p w:rsidR="00814BD6" w:rsidRPr="0061696A" w:rsidRDefault="00814BD6" w:rsidP="00814BD6">
      <w:pPr>
        <w:pStyle w:val="Paragrafoelenco"/>
        <w:numPr>
          <w:ilvl w:val="0"/>
          <w:numId w:val="1"/>
        </w:numPr>
        <w:spacing w:before="120"/>
        <w:jc w:val="both"/>
        <w:rPr>
          <w:rFonts w:ascii="Tahoma" w:hAnsi="Tahoma" w:cs="Tahoma"/>
          <w:i/>
          <w:sz w:val="22"/>
          <w:szCs w:val="22"/>
        </w:rPr>
      </w:pPr>
      <w:r w:rsidRPr="0061696A">
        <w:rPr>
          <w:rFonts w:ascii="Tahoma" w:hAnsi="Tahoma" w:cs="Tahoma"/>
          <w:i/>
          <w:sz w:val="22"/>
          <w:szCs w:val="22"/>
        </w:rPr>
        <w:t>Occhio alla pubblicità</w:t>
      </w:r>
    </w:p>
    <w:p w:rsidR="00814BD6" w:rsidRPr="0061696A" w:rsidRDefault="00814BD6" w:rsidP="00814BD6">
      <w:pPr>
        <w:pStyle w:val="Paragrafoelenco"/>
        <w:numPr>
          <w:ilvl w:val="0"/>
          <w:numId w:val="1"/>
        </w:numPr>
        <w:spacing w:before="120"/>
        <w:jc w:val="both"/>
        <w:rPr>
          <w:rFonts w:ascii="Tahoma" w:hAnsi="Tahoma" w:cs="Tahoma"/>
          <w:i/>
          <w:sz w:val="22"/>
          <w:szCs w:val="22"/>
        </w:rPr>
      </w:pPr>
      <w:r w:rsidRPr="0061696A">
        <w:rPr>
          <w:rFonts w:ascii="Tahoma" w:hAnsi="Tahoma" w:cs="Tahoma"/>
          <w:i/>
          <w:sz w:val="22"/>
          <w:szCs w:val="22"/>
        </w:rPr>
        <w:t>Il mondo in camice</w:t>
      </w:r>
      <w:bookmarkStart w:id="0" w:name="_GoBack"/>
      <w:bookmarkEnd w:id="0"/>
    </w:p>
    <w:p w:rsidR="00814BD6" w:rsidRPr="0061696A" w:rsidRDefault="00814BD6" w:rsidP="00814BD6">
      <w:pPr>
        <w:pStyle w:val="Paragrafoelenco"/>
        <w:numPr>
          <w:ilvl w:val="0"/>
          <w:numId w:val="1"/>
        </w:numPr>
        <w:spacing w:before="120"/>
        <w:jc w:val="both"/>
        <w:rPr>
          <w:rFonts w:ascii="Tahoma" w:hAnsi="Tahoma" w:cs="Tahoma"/>
          <w:i/>
          <w:sz w:val="22"/>
          <w:szCs w:val="22"/>
        </w:rPr>
      </w:pPr>
      <w:r w:rsidRPr="0061696A">
        <w:rPr>
          <w:rFonts w:ascii="Tahoma" w:hAnsi="Tahoma" w:cs="Tahoma"/>
          <w:i/>
          <w:sz w:val="22"/>
          <w:szCs w:val="22"/>
        </w:rPr>
        <w:t>Il futuro in verde</w:t>
      </w:r>
    </w:p>
    <w:p w:rsidR="00814BD6" w:rsidRDefault="00814BD6" w:rsidP="00814BD6">
      <w:pPr>
        <w:spacing w:before="120"/>
        <w:ind w:left="357"/>
        <w:jc w:val="both"/>
        <w:rPr>
          <w:rFonts w:ascii="Tahoma" w:hAnsi="Tahoma" w:cs="Tahoma"/>
          <w:sz w:val="22"/>
          <w:szCs w:val="22"/>
        </w:rPr>
        <w:sectPr w:rsidR="00814BD6" w:rsidSect="00893158">
          <w:type w:val="continuous"/>
          <w:pgSz w:w="11906" w:h="16838"/>
          <w:pgMar w:top="1417" w:right="1134" w:bottom="1134" w:left="1134" w:header="708" w:footer="708" w:gutter="0"/>
          <w:cols w:num="2" w:space="708"/>
          <w:docGrid w:linePitch="360"/>
        </w:sectPr>
      </w:pPr>
    </w:p>
    <w:p w:rsidR="00814BD6" w:rsidRPr="009424D0" w:rsidRDefault="00814BD6" w:rsidP="00814BD6">
      <w:pPr>
        <w:spacing w:before="120"/>
        <w:ind w:left="357"/>
        <w:jc w:val="both"/>
        <w:rPr>
          <w:rFonts w:ascii="Tahoma" w:hAnsi="Tahoma" w:cs="Tahoma"/>
          <w:sz w:val="22"/>
          <w:szCs w:val="22"/>
        </w:rPr>
      </w:pPr>
      <w:r w:rsidRPr="009424D0">
        <w:rPr>
          <w:rFonts w:ascii="Tahoma" w:hAnsi="Tahoma" w:cs="Tahoma"/>
          <w:sz w:val="22"/>
          <w:szCs w:val="22"/>
        </w:rPr>
        <w:lastRenderedPageBreak/>
        <w:t>Le unità di apprendimento proposte possono essere sia un supporto per i docenti che desiderano inserire i linguaggi settoriali nella loro programmazione didattica, sia uno stimolo per chi voglia creare altre unità che vadano incontro alle esigenze particolari dei propri studenti. Le attività presenti nel fascicolo si prestano</w:t>
      </w:r>
      <w:proofErr w:type="gramStart"/>
      <w:r w:rsidRPr="009424D0">
        <w:rPr>
          <w:rFonts w:ascii="Tahoma" w:hAnsi="Tahoma" w:cs="Tahoma"/>
          <w:sz w:val="22"/>
          <w:szCs w:val="22"/>
        </w:rPr>
        <w:t xml:space="preserve"> infatti</w:t>
      </w:r>
      <w:proofErr w:type="gramEnd"/>
      <w:r w:rsidRPr="009424D0">
        <w:rPr>
          <w:rFonts w:ascii="Tahoma" w:hAnsi="Tahoma" w:cs="Tahoma"/>
          <w:sz w:val="22"/>
          <w:szCs w:val="22"/>
        </w:rPr>
        <w:t xml:space="preserve"> a essere utilizzate nel lavoro in classe ma anche come modello per l’elaborazione di ulteriore materiale didattico.</w:t>
      </w:r>
    </w:p>
    <w:p w:rsidR="00814BD6" w:rsidRPr="00893158" w:rsidRDefault="00814BD6" w:rsidP="00814BD6">
      <w:pPr>
        <w:spacing w:before="120"/>
        <w:ind w:left="357"/>
        <w:jc w:val="both"/>
        <w:rPr>
          <w:rFonts w:ascii="Tahoma" w:hAnsi="Tahoma" w:cs="Tahoma"/>
          <w:b/>
          <w:sz w:val="18"/>
          <w:szCs w:val="18"/>
        </w:rPr>
      </w:pPr>
      <w:r w:rsidRPr="00893158">
        <w:rPr>
          <w:rFonts w:ascii="Tahoma" w:hAnsi="Tahoma" w:cs="Tahoma"/>
          <w:b/>
          <w:sz w:val="18"/>
          <w:szCs w:val="18"/>
        </w:rPr>
        <w:t>Barbara Della Croce</w:t>
      </w:r>
      <w:r>
        <w:rPr>
          <w:rFonts w:ascii="Tahoma" w:hAnsi="Tahoma" w:cs="Tahoma"/>
          <w:b/>
          <w:sz w:val="18"/>
          <w:szCs w:val="18"/>
        </w:rPr>
        <w:t xml:space="preserve"> – </w:t>
      </w:r>
      <w:hyperlink r:id="rId7" w:history="1">
        <w:r w:rsidRPr="0001153A">
          <w:rPr>
            <w:rStyle w:val="Collegamentoipertestuale"/>
            <w:rFonts w:ascii="Tahoma" w:hAnsi="Tahoma" w:cs="Tahoma"/>
            <w:b/>
            <w:sz w:val="18"/>
            <w:szCs w:val="18"/>
          </w:rPr>
          <w:t>barbara@activewebs.it</w:t>
        </w:r>
      </w:hyperlink>
      <w:r>
        <w:rPr>
          <w:rFonts w:ascii="Tahoma" w:hAnsi="Tahoma" w:cs="Tahoma"/>
          <w:b/>
          <w:sz w:val="18"/>
          <w:szCs w:val="18"/>
        </w:rPr>
        <w:t xml:space="preserve"> </w:t>
      </w:r>
    </w:p>
    <w:p w:rsidR="00393C96" w:rsidRDefault="005D189C"/>
    <w:sectPr w:rsidR="00393C96" w:rsidSect="00893158">
      <w:type w:val="continuous"/>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Palatino Linotype">
    <w:panose1 w:val="02040502050505030304"/>
    <w:charset w:val="00"/>
    <w:family w:val="roman"/>
    <w:pitch w:val="variable"/>
    <w:sig w:usb0="E00003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B20ACE"/>
    <w:multiLevelType w:val="hybridMultilevel"/>
    <w:tmpl w:val="712620C4"/>
    <w:lvl w:ilvl="0" w:tplc="918ACD32">
      <w:start w:val="1"/>
      <w:numFmt w:val="decimal"/>
      <w:lvlText w:val="%1."/>
      <w:lvlJc w:val="left"/>
      <w:pPr>
        <w:ind w:left="717" w:hanging="360"/>
      </w:pPr>
      <w:rPr>
        <w:rFonts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BD6"/>
    <w:rsid w:val="000B657E"/>
    <w:rsid w:val="00300A24"/>
    <w:rsid w:val="005D189C"/>
    <w:rsid w:val="006D7828"/>
    <w:rsid w:val="00814BD6"/>
    <w:rsid w:val="00ED18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14BD6"/>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14BD6"/>
    <w:pPr>
      <w:ind w:left="720"/>
      <w:contextualSpacing/>
    </w:pPr>
  </w:style>
  <w:style w:type="character" w:styleId="Collegamentoipertestuale">
    <w:name w:val="Hyperlink"/>
    <w:basedOn w:val="Carpredefinitoparagrafo"/>
    <w:uiPriority w:val="99"/>
    <w:unhideWhenUsed/>
    <w:rsid w:val="00814BD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14BD6"/>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14BD6"/>
    <w:pPr>
      <w:ind w:left="720"/>
      <w:contextualSpacing/>
    </w:pPr>
  </w:style>
  <w:style w:type="character" w:styleId="Collegamentoipertestuale">
    <w:name w:val="Hyperlink"/>
    <w:basedOn w:val="Carpredefinitoparagrafo"/>
    <w:uiPriority w:val="99"/>
    <w:unhideWhenUsed/>
    <w:rsid w:val="00814B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barbara@activewebs.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395</Words>
  <Characters>2256</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dc:creator>
  <cp:keywords/>
  <dc:description/>
  <cp:lastModifiedBy>Barbara</cp:lastModifiedBy>
  <cp:revision>5</cp:revision>
  <dcterms:created xsi:type="dcterms:W3CDTF">2010-11-19T16:58:00Z</dcterms:created>
  <dcterms:modified xsi:type="dcterms:W3CDTF">2010-12-03T17:14:00Z</dcterms:modified>
</cp:coreProperties>
</file>